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jc w:val="center"/>
        <w:tblLook w:val="04A0" w:firstRow="1" w:lastRow="0" w:firstColumn="1" w:lastColumn="0" w:noHBand="0" w:noVBand="1"/>
      </w:tblPr>
      <w:tblGrid>
        <w:gridCol w:w="1637"/>
        <w:gridCol w:w="1513"/>
        <w:gridCol w:w="1080"/>
        <w:gridCol w:w="2070"/>
        <w:gridCol w:w="3330"/>
        <w:gridCol w:w="2790"/>
        <w:gridCol w:w="2040"/>
      </w:tblGrid>
      <w:tr w:rsidR="00CC1152" w:rsidRPr="008A7A50" w14:paraId="19E79B7B" w14:textId="77777777" w:rsidTr="00653E65">
        <w:trPr>
          <w:trHeight w:val="381"/>
          <w:jc w:val="center"/>
        </w:trPr>
        <w:tc>
          <w:tcPr>
            <w:tcW w:w="144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2DA25" w14:textId="51E05400" w:rsidR="00CC1152" w:rsidRPr="00FE61A2" w:rsidRDefault="00CC1152" w:rsidP="00CC11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Table </w:t>
            </w:r>
            <w:r w:rsidR="008A7A50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1: </w:t>
            </w:r>
            <w:r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Barriers </w:t>
            </w:r>
            <w:r w:rsidR="00722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="008A7A50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nd Strategies </w:t>
            </w:r>
            <w:r w:rsidR="00722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 w:rsidR="008A7A50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Developing A Pediatrician-Scientist Program </w:t>
            </w:r>
            <w:r w:rsidR="00722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="008A7A50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 Residency Training </w:t>
            </w:r>
            <w:r w:rsidR="00722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  <w:r w:rsidR="008A7A50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y </w:t>
            </w:r>
            <w:r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Bolman </w:t>
            </w:r>
            <w:r w:rsidR="00722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="008A7A50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nd </w:t>
            </w:r>
            <w:r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Deals' Four Frames </w:t>
            </w:r>
            <w:r w:rsidR="00722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 w:rsidR="008A7A50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</w:t>
            </w:r>
            <w:r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Organizational Functioning </w:t>
            </w:r>
            <w:r w:rsidR="00722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="008A7A50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nd </w:t>
            </w:r>
            <w:r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Leadership</w:t>
            </w:r>
            <w:r w:rsidR="000930BB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  <w:r w:rsidR="00093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as Identified by Experts in Research and Education</w:t>
            </w:r>
            <w:r w:rsidR="000930BB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93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="000930BB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 </w:t>
            </w:r>
            <w:r w:rsidR="000930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the </w:t>
            </w:r>
            <w:r w:rsidR="008A7A50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2019 </w:t>
            </w:r>
            <w:r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Pediatric Academic </w:t>
            </w:r>
            <w:r w:rsidR="00CE5882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Societ</w:t>
            </w:r>
            <w:r w:rsidR="00CE5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ies</w:t>
            </w:r>
            <w:r w:rsidR="00CE5882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Meeting </w:t>
            </w:r>
            <w:r w:rsidR="008A7A50" w:rsidRPr="00FE6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Scholarly Session</w:t>
            </w:r>
          </w:p>
        </w:tc>
      </w:tr>
      <w:tr w:rsidR="00CC1152" w:rsidRPr="008A7A50" w14:paraId="0D79A649" w14:textId="77777777" w:rsidTr="00653E65">
        <w:trPr>
          <w:trHeight w:val="293"/>
          <w:jc w:val="center"/>
        </w:trPr>
        <w:tc>
          <w:tcPr>
            <w:tcW w:w="144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46F95" w14:textId="77777777" w:rsidR="00CC1152" w:rsidRPr="00CC1152" w:rsidRDefault="00CC1152" w:rsidP="00CC11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2C56" w:rsidRPr="008A7A50" w14:paraId="2F3527B7" w14:textId="77777777" w:rsidTr="00653E65">
        <w:trPr>
          <w:trHeight w:val="629"/>
          <w:jc w:val="center"/>
        </w:trPr>
        <w:tc>
          <w:tcPr>
            <w:tcW w:w="163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808080"/>
            <w:vAlign w:val="center"/>
            <w:hideMark/>
          </w:tcPr>
          <w:p w14:paraId="0EECFB5D" w14:textId="77777777" w:rsidR="00CC1152" w:rsidRPr="00CC1152" w:rsidRDefault="00CC1152" w:rsidP="00CC1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C115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Bolman and Deal Organizational Frame</w:t>
            </w:r>
          </w:p>
        </w:tc>
        <w:tc>
          <w:tcPr>
            <w:tcW w:w="15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808080"/>
            <w:vAlign w:val="center"/>
            <w:hideMark/>
          </w:tcPr>
          <w:p w14:paraId="3473E525" w14:textId="77777777" w:rsidR="00CC1152" w:rsidRPr="00CC1152" w:rsidRDefault="00CC1152" w:rsidP="00CC1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C115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Definition of Frame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808080"/>
            <w:vAlign w:val="center"/>
            <w:hideMark/>
          </w:tcPr>
          <w:p w14:paraId="5D2A856C" w14:textId="77777777" w:rsidR="00CC1152" w:rsidRPr="00CC1152" w:rsidRDefault="00CC1152" w:rsidP="00CC11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C115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Barriers &amp; Strategies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4D56ED" w14:textId="77777777" w:rsidR="00CC1152" w:rsidRPr="00CC1152" w:rsidRDefault="00CC1152" w:rsidP="00CC1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C115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Recruitment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90CA202" w14:textId="77777777" w:rsidR="00CC1152" w:rsidRPr="00CC1152" w:rsidRDefault="00CC1152" w:rsidP="00CC1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C115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Program Structure &amp; Curricula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4AFED62" w14:textId="77777777" w:rsidR="00CC1152" w:rsidRPr="00CC1152" w:rsidRDefault="00CC1152" w:rsidP="00CC1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C115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Mentorship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C32AD75" w14:textId="77777777" w:rsidR="00CC1152" w:rsidRPr="00CC1152" w:rsidRDefault="00CC1152" w:rsidP="00CC1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C115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Resources</w:t>
            </w:r>
          </w:p>
        </w:tc>
      </w:tr>
      <w:tr w:rsidR="00082C56" w:rsidRPr="008A7A50" w14:paraId="1F724C3A" w14:textId="77777777" w:rsidTr="00FE61A2">
        <w:trPr>
          <w:trHeight w:val="1431"/>
          <w:jc w:val="center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25415287" w14:textId="77777777" w:rsidR="00CC1152" w:rsidRPr="00653E65" w:rsidRDefault="00CC1152" w:rsidP="00653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Structural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BD9D" w14:textId="77777777" w:rsidR="00CC1152" w:rsidRPr="00653E65" w:rsidRDefault="00CC1152" w:rsidP="00CC1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2020F33" w14:textId="77777777" w:rsidR="00CC1152" w:rsidRPr="00653E65" w:rsidRDefault="00CC1152" w:rsidP="00FE6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Barriers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1DE02D" w14:textId="77777777" w:rsidR="00715F92" w:rsidRDefault="00082C56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-Extended length of training including subspecialty training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  <w:t>-S</w:t>
            </w:r>
            <w:r w:rsidR="00CC1152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hrinking </w:t>
            </w:r>
            <w:r w:rsidR="00EE2A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positions</w:t>
            </w:r>
            <w:r w:rsidR="00CC1152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EE2A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for</w:t>
            </w:r>
            <w:r w:rsidR="00CC1152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physician-scientists in academic pediatrics</w:t>
            </w:r>
          </w:p>
          <w:p w14:paraId="240DBEDE" w14:textId="2D2F1C89" w:rsidR="002C64E0" w:rsidRPr="00653E65" w:rsidRDefault="002C64E0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-reduced financial support for residency expansions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600BFD" w14:textId="58189426" w:rsidR="00082C56" w:rsidRPr="00653E65" w:rsidRDefault="00082C56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191855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oss of resident </w:t>
            </w:r>
            <w:r w:rsidR="00F71F72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FTE*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for </w:t>
            </w:r>
            <w:r w:rsidR="00F71F72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ABP ARP</w:t>
            </w:r>
            <w:r w:rsidR="003B6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/IRP</w:t>
            </w:r>
            <w:r w:rsidR="00F71F72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**</w:t>
            </w:r>
          </w:p>
          <w:p w14:paraId="05B8C261" w14:textId="0A74037D" w:rsidR="00082C56" w:rsidRPr="00653E65" w:rsidRDefault="00082C56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7228F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ifficulty </w:t>
            </w:r>
            <w:r w:rsidR="007228F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achieving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optimal schedule for research</w:t>
            </w:r>
            <w:r w:rsidR="00F71F72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skills training</w:t>
            </w:r>
            <w:r w:rsidR="007228F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within training program </w:t>
            </w:r>
            <w:r w:rsidR="0039735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schedule</w:t>
            </w:r>
            <w:r w:rsidR="007228F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  <w:p w14:paraId="1C05B212" w14:textId="5D3C7BBB" w:rsidR="00082C56" w:rsidRPr="00653E65" w:rsidRDefault="00082C56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39735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imited number of physician-scientist residents</w:t>
            </w:r>
            <w:r w:rsidR="0039735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within the program </w:t>
            </w:r>
            <w:r w:rsidR="003B6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impedes adoption of long-term solutions</w:t>
            </w:r>
          </w:p>
          <w:p w14:paraId="218D242C" w14:textId="77777777" w:rsidR="00CC1152" w:rsidRPr="00653E65" w:rsidRDefault="00082C56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191855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nability to provide call-free time on research months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B17856" w14:textId="77777777" w:rsidR="00CC1152" w:rsidRPr="00653E65" w:rsidRDefault="00F71F72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CC1152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Availability of qualified mentors,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with mentorship experience of physician-scientists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62589B" w14:textId="77777777" w:rsidR="006A0A48" w:rsidRPr="00653E65" w:rsidRDefault="00F71F72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082C56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Limited research infrastructure</w:t>
            </w:r>
          </w:p>
          <w:p w14:paraId="0CEDF23A" w14:textId="77777777" w:rsidR="00CC1152" w:rsidRPr="00653E65" w:rsidRDefault="00F71F72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082C56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Lack of financial support for research and/or related activities</w:t>
            </w:r>
          </w:p>
        </w:tc>
      </w:tr>
      <w:tr w:rsidR="00082C56" w:rsidRPr="008A7A50" w14:paraId="511BF8EA" w14:textId="77777777" w:rsidTr="00FE61A2">
        <w:trPr>
          <w:trHeight w:val="1178"/>
          <w:jc w:val="center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E30689" w14:textId="77777777" w:rsidR="00CC1152" w:rsidRPr="00653E65" w:rsidRDefault="00CC1152" w:rsidP="00653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EC22F" w14:textId="77777777" w:rsidR="00CC1152" w:rsidRPr="00653E65" w:rsidRDefault="00CC1152" w:rsidP="006A0A48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C6E33" w14:textId="77777777" w:rsidR="00CC1152" w:rsidRPr="00653E65" w:rsidRDefault="00CC1152" w:rsidP="00FE6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Strategies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31D5" w14:textId="1A1B0E32" w:rsidR="00CC1152" w:rsidRDefault="00F71F72" w:rsidP="007228F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- </w:t>
            </w:r>
            <w:r w:rsidR="007228F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Strategic planning for career development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during residency to reduce transition time from fellowship to junior faculty</w:t>
            </w:r>
          </w:p>
          <w:p w14:paraId="79C5693B" w14:textId="036684D9" w:rsidR="00A0210C" w:rsidRDefault="00A0210C" w:rsidP="00A0210C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0210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-Hiring </w:t>
            </w:r>
            <w:r w:rsidR="000930BB" w:rsidRPr="00A0210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</w:t>
            </w:r>
            <w:r w:rsidR="000930B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GY</w:t>
            </w:r>
            <w:r w:rsidRPr="00A0210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-2 transfer residents to fill anticipated vacancies expected for physician-scientist residents on ABP ARP</w:t>
            </w:r>
            <w:r w:rsidR="003B6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/IRP</w:t>
            </w:r>
            <w:r w:rsidRPr="00A0210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  <w:p w14:paraId="0F031A7A" w14:textId="2F049375" w:rsidR="002C64E0" w:rsidRPr="00A0210C" w:rsidRDefault="002C64E0" w:rsidP="00A0210C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-collective advocacy to hospital systems for research in residency</w:t>
            </w:r>
          </w:p>
          <w:p w14:paraId="344C6E4C" w14:textId="600E4335" w:rsidR="00A0210C" w:rsidRPr="00653E65" w:rsidRDefault="00A0210C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FEBF" w14:textId="2F26BD20" w:rsidR="00CC1152" w:rsidRDefault="00F71F72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-Dedicated slots (outside of complement) to </w:t>
            </w:r>
            <w:r w:rsidR="00454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alleviate</w:t>
            </w:r>
            <w:r w:rsidR="004549FC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scheduling constraints</w:t>
            </w:r>
            <w:r w:rsidR="00CC1152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</w:t>
            </w:r>
          </w:p>
          <w:p w14:paraId="1B9FCF8A" w14:textId="7F6F9A95" w:rsidR="00EB08E9" w:rsidRPr="00653E65" w:rsidRDefault="00EB08E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-Facilitating community building between programs such as at national meetings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F0F3" w14:textId="77777777" w:rsidR="00CC1152" w:rsidRDefault="00F71F72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CC1152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Consider team mentoring for collective expertise and improve reliability</w:t>
            </w:r>
          </w:p>
          <w:p w14:paraId="64F7BDF5" w14:textId="08D4370C" w:rsidR="00EB08E9" w:rsidRDefault="00EB08E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-Creation of national network of mentors to help fill gaps in local perspective/</w:t>
            </w:r>
            <w:r w:rsidR="00AE357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expertise</w:t>
            </w:r>
          </w:p>
          <w:p w14:paraId="5CE99103" w14:textId="1D0CFF2D" w:rsidR="00AE3578" w:rsidRPr="00653E65" w:rsidRDefault="00AE3578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-Increase vertical mentoring to engage PSTP</w:t>
            </w:r>
            <w:r w:rsidRPr="00CC30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and faculty pediatric-scientists with MSTP trainees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FC8E" w14:textId="77777777" w:rsidR="00F71F72" w:rsidRPr="00653E65" w:rsidRDefault="00F71F72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082C56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Collaborate </w:t>
            </w:r>
            <w:r w:rsidR="00CC1152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with partnering/collaborating institutions</w:t>
            </w:r>
          </w:p>
          <w:p w14:paraId="1BD3749F" w14:textId="77777777" w:rsidR="00CC1152" w:rsidRDefault="00F71F72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191855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upport</w:t>
            </w:r>
            <w:r w:rsidR="00CC1152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physician-scientist residents to pursue research experiences at these institutions</w:t>
            </w:r>
          </w:p>
          <w:p w14:paraId="7B218C9A" w14:textId="4854E995" w:rsidR="00EB08E9" w:rsidRPr="00653E65" w:rsidRDefault="00EB08E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-Advocate for continued support of key programs such as national PSDP</w:t>
            </w:r>
            <w:r w:rsidRPr="00CC30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***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and R38</w:t>
            </w:r>
            <w:r w:rsidRPr="00CC30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</w:tr>
      <w:tr w:rsidR="00082C56" w:rsidRPr="008A7A50" w14:paraId="39B138B8" w14:textId="77777777" w:rsidTr="00543E33">
        <w:trPr>
          <w:trHeight w:val="701"/>
          <w:jc w:val="center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0C030849" w14:textId="77777777" w:rsidR="00543E33" w:rsidRDefault="00543E33" w:rsidP="0054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1AF38867" w14:textId="77777777" w:rsidR="00543E33" w:rsidRDefault="00543E33" w:rsidP="0054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0FE2EFEA" w14:textId="77777777" w:rsidR="00543E33" w:rsidRDefault="00543E33" w:rsidP="0054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6A909AEB" w14:textId="77777777" w:rsidR="00543E33" w:rsidRDefault="00543E33" w:rsidP="0054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75AD0DD9" w14:textId="77777777" w:rsidR="00543E33" w:rsidRDefault="00543E33" w:rsidP="0054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1757AAD0" w14:textId="77777777" w:rsidR="00543E33" w:rsidRDefault="00543E33" w:rsidP="0054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5F82ED66" w14:textId="77777777" w:rsidR="00543E33" w:rsidRDefault="00543E33" w:rsidP="0054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1C946238" w14:textId="77777777" w:rsidR="00543E33" w:rsidRDefault="00543E33" w:rsidP="0054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39290459" w14:textId="3CDA44F6" w:rsidR="00082C56" w:rsidRPr="00653E65" w:rsidRDefault="00CC1152" w:rsidP="0054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Human</w:t>
            </w:r>
          </w:p>
          <w:p w14:paraId="75988DEA" w14:textId="77777777" w:rsidR="00CC1152" w:rsidRPr="00653E65" w:rsidRDefault="00CC1152" w:rsidP="0054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Resources</w:t>
            </w:r>
          </w:p>
          <w:p w14:paraId="78894410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50515F8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F28A42E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52F77CB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9135CA0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6D50A3E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5F6B520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48F8D34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28D20A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30EB4C8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63A2CC0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0D3C89F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7C453CD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1CFC9B8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B7A876A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6A9B2BF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73AF693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1206D1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5A9C8094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0FD82F6" w14:textId="58C20003" w:rsidR="007C4C68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5875D6A" w14:textId="55177BAE" w:rsidR="00CC302B" w:rsidRPr="00CC302B" w:rsidRDefault="00CC302B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0F0A9B1" w14:textId="77777777" w:rsidR="00CC302B" w:rsidRPr="00CC302B" w:rsidRDefault="00CC302B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5AF14E8" w14:textId="68C1E7BD" w:rsidR="00CC302B" w:rsidRPr="00CC302B" w:rsidRDefault="00CC302B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1E4273B" w14:textId="77777777" w:rsidR="00CC302B" w:rsidRPr="00CC302B" w:rsidRDefault="00CC302B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895DEFF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898CF5B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578D0E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ECB385D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53E1F4D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B43ACCF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E4940E3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3B4B2D71" w14:textId="77777777" w:rsidR="007C4C68" w:rsidRPr="00653E65" w:rsidRDefault="007C4C68" w:rsidP="00543E3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0DE2" w14:textId="77777777" w:rsidR="00CC1152" w:rsidRPr="00653E65" w:rsidRDefault="00CC1152" w:rsidP="006A0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EF07C07" w14:textId="77777777" w:rsidR="00CC1152" w:rsidRPr="00653E65" w:rsidRDefault="00CC1152" w:rsidP="00FE6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Barriers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A3E4CC" w14:textId="77777777" w:rsidR="00EE2A0B" w:rsidRDefault="00F71F72" w:rsidP="007228F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CC1152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Limited number of </w:t>
            </w:r>
            <w:r w:rsidR="00D10457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MSTP graduates pursuing pediatric residency program </w:t>
            </w:r>
          </w:p>
          <w:p w14:paraId="6AD30C15" w14:textId="615B411B" w:rsidR="00CC1152" w:rsidRPr="00653E65" w:rsidRDefault="00CC1152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835F11" w14:textId="04DD9FCC" w:rsidR="00D10457" w:rsidRPr="00653E65" w:rsidRDefault="00D10457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0930B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0930BB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ack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of protected effort for faculty engaged/planning physician-scientist resident curricular activities (i.e., seminar planning, recruitment, etc.)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E2D621" w14:textId="7A0D96AD" w:rsidR="00CC1152" w:rsidRPr="00653E65" w:rsidRDefault="00D10457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-Lack of training </w:t>
            </w:r>
            <w:r w:rsidR="00EB08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of</w:t>
            </w:r>
            <w:r w:rsidR="000930B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house staff faculty mentors on unique needs of physician-scientist </w:t>
            </w:r>
            <w:r w:rsidR="000930B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trainees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3DB0B7" w14:textId="77777777" w:rsidR="00CC1152" w:rsidRPr="00653E65" w:rsidRDefault="00D10457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082C56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Lack </w:t>
            </w:r>
            <w:r w:rsidR="00CC1152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of research faculty to mentor physician-scientist trainees</w:t>
            </w:r>
          </w:p>
        </w:tc>
      </w:tr>
      <w:tr w:rsidR="007938C9" w:rsidRPr="008A7A50" w14:paraId="39EBD07E" w14:textId="77777777" w:rsidTr="00FE61A2">
        <w:trPr>
          <w:trHeight w:val="144"/>
          <w:jc w:val="center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D9B552" w14:textId="77777777" w:rsidR="007938C9" w:rsidRPr="00653E65" w:rsidRDefault="007938C9" w:rsidP="007938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DF9C2" w14:textId="77777777" w:rsidR="007938C9" w:rsidRPr="00653E65" w:rsidRDefault="007938C9" w:rsidP="007938C9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3361B0" w14:textId="77777777" w:rsidR="007938C9" w:rsidRPr="00653E65" w:rsidRDefault="007938C9" w:rsidP="00FE6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Strategies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D400" w14:textId="795939FD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-Work to pair and individualize, research track residency to fellowship</w:t>
            </w:r>
            <w:r w:rsidR="0096551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to create a workforce pipeline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B5AF" w14:textId="25F785A8" w:rsidR="007938C9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-Salary</w:t>
            </w:r>
            <w:r w:rsidR="002C64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academic </w:t>
            </w:r>
            <w:r w:rsidR="002C64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and recognition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incentives towards promotion for faculty with research careers who devote time and effort mentoring future pediatrician scientists                                           -Creation of APD roles with special expertise in the needs of physician-scientists</w:t>
            </w:r>
          </w:p>
          <w:p w14:paraId="3D78DB24" w14:textId="22243541" w:rsidR="002C64E0" w:rsidRPr="00653E65" w:rsidRDefault="002C64E0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D76E" w14:textId="765A57B7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-Focus on larger pool of trainees beyond MSTP</w:t>
            </w:r>
            <w:r w:rsidR="000930BB" w:rsidRPr="00CC302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#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residents to</w:t>
            </w:r>
            <w:r w:rsidR="000930B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include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MDs</w:t>
            </w:r>
            <w:r w:rsidR="000930B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who discover research interest during residency/fellowship</w:t>
            </w:r>
          </w:p>
          <w:p w14:paraId="0A04919F" w14:textId="77777777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-Expand workforce to create overlaps in resources for sharing co-mentoring from investigators with large infrastructures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  <w:t>-Train mentors to understand work/life complexity</w:t>
            </w:r>
          </w:p>
          <w:p w14:paraId="01319BD3" w14:textId="009A5B3D" w:rsidR="007938C9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0930B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0930BB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stablish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commitment and skills to enable successful mentoring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  <w:t>-</w:t>
            </w:r>
            <w:r w:rsidR="00653E65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Develop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critical mass of highly qualified mentors for sustainability</w:t>
            </w:r>
          </w:p>
          <w:p w14:paraId="6C53417F" w14:textId="3CAAF04E" w:rsidR="004F6008" w:rsidRPr="00653E65" w:rsidRDefault="004F6008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454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Expand</w:t>
            </w:r>
            <w:r w:rsidR="00EB08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number and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EB08E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diversity of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physician-scientist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role models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regards to types of research (basic, clinical, socio-behavior research) and ethnicity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A2F1" w14:textId="77777777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- Recruit research faculty with a track record of mentorship of clinician-scientist trainees</w:t>
            </w:r>
          </w:p>
        </w:tc>
      </w:tr>
      <w:tr w:rsidR="00FE61A2" w:rsidRPr="008A7A50" w14:paraId="3DCA4A5E" w14:textId="77777777" w:rsidTr="00FE61A2">
        <w:trPr>
          <w:trHeight w:val="1799"/>
          <w:jc w:val="center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26AA3C8E" w14:textId="77777777" w:rsidR="007938C9" w:rsidRPr="00653E65" w:rsidRDefault="007938C9" w:rsidP="00793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Political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D1B3" w14:textId="77777777" w:rsidR="007938C9" w:rsidRPr="00653E65" w:rsidRDefault="007938C9" w:rsidP="00793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136B01F" w14:textId="77777777" w:rsidR="007938C9" w:rsidRPr="00653E65" w:rsidRDefault="007938C9" w:rsidP="00FE6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Barriers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0F64E9" w14:textId="04D1B334" w:rsidR="007938C9" w:rsidRPr="00653E65" w:rsidRDefault="00965515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0930B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Institutional competition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with other specialties with better</w:t>
            </w:r>
            <w:r w:rsidR="00454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 more widely appreciated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track records for physician-scientists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9F1BB4" w14:textId="77777777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-Lack of coverage during protected research time                                                                                                     -Perception by residency leadership and co-residents that there should be equal clinical responsibilities for all residents</w:t>
            </w:r>
          </w:p>
          <w:p w14:paraId="005A1C06" w14:textId="77777777" w:rsidR="007938C9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 Conflicting priorities of meeting clinical needs versus supporting research efforts</w:t>
            </w:r>
          </w:p>
          <w:p w14:paraId="21F6B929" w14:textId="225B826B" w:rsidR="000930BB" w:rsidRPr="00653E65" w:rsidRDefault="000930BB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454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Limited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funds to protect the research/training opportunities for residents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2A1B9C" w14:textId="2F57387C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-Struggle with demanding  schedule of trainees and mentors</w:t>
            </w:r>
          </w:p>
          <w:p w14:paraId="1771EE9D" w14:textId="5B8CA60C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-Pressure</w:t>
            </w:r>
            <w:r w:rsidR="000930B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on faculty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to generate clinical revenues in light of shrinking federal research funding</w:t>
            </w:r>
          </w:p>
          <w:p w14:paraId="08DBC6B2" w14:textId="5401C470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454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0930BB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ack of protected time </w:t>
            </w:r>
            <w:r w:rsidR="000930B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and formalized recognition </w:t>
            </w:r>
            <w:r w:rsidR="000930BB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for mentoring</w:t>
            </w:r>
            <w:r w:rsidR="004549F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despite high mentoring needs of aspiring physician-scientists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5E1F8B" w14:textId="77777777" w:rsidR="007938C9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-Absence of residency slots protected for research</w:t>
            </w:r>
          </w:p>
          <w:p w14:paraId="72623CFA" w14:textId="041D5B1D" w:rsidR="00AE3578" w:rsidRPr="00653E65" w:rsidRDefault="00AE3578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-Lack of financial resources to provide individualized support of trainee for work-life balance</w:t>
            </w:r>
          </w:p>
        </w:tc>
      </w:tr>
      <w:tr w:rsidR="007938C9" w:rsidRPr="008A7A50" w14:paraId="31828517" w14:textId="77777777" w:rsidTr="00FE61A2">
        <w:trPr>
          <w:trHeight w:val="2127"/>
          <w:jc w:val="center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93C241" w14:textId="77777777" w:rsidR="007938C9" w:rsidRPr="00653E65" w:rsidRDefault="007938C9" w:rsidP="007938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03BF" w14:textId="77777777" w:rsidR="007938C9" w:rsidRPr="00653E65" w:rsidRDefault="007938C9" w:rsidP="007938C9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C587B" w14:textId="77777777" w:rsidR="007938C9" w:rsidRPr="00653E65" w:rsidRDefault="007938C9" w:rsidP="00FE6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Strategies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7301" w14:textId="437E9163" w:rsidR="00965515" w:rsidRDefault="007938C9" w:rsidP="007228F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965515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Support vertical integration of MSTP activities with research residency to </w:t>
            </w:r>
            <w:r w:rsidR="0096551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attract internal candidates</w:t>
            </w:r>
          </w:p>
          <w:p w14:paraId="58400913" w14:textId="5B273DC8" w:rsidR="007938C9" w:rsidRDefault="00965515" w:rsidP="007228F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- </w:t>
            </w:r>
            <w:r w:rsidR="00D4215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Develop tailored</w:t>
            </w:r>
            <w:r w:rsidR="007938C9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interview day, meet</w:t>
            </w:r>
            <w:r w:rsidR="00D4215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ing</w:t>
            </w:r>
            <w:r w:rsidR="007938C9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with leaders (chairs, program directors) reception for community exposure</w:t>
            </w:r>
          </w:p>
          <w:p w14:paraId="4AB55659" w14:textId="1C6612FA" w:rsidR="00965515" w:rsidRDefault="00965515" w:rsidP="007228F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14:paraId="740B32F5" w14:textId="0CBA5A58" w:rsidR="00965515" w:rsidRPr="00653E65" w:rsidRDefault="00965515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DDC2" w14:textId="631C3883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-Bring in new residents as PGY2s to specifically cover the research residents that transition to protected research time                                                                                      -Loan repayment                                                                                                                                       -Incentives for research faculty and GME faculty who protect the needs of these residents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45F4" w14:textId="77777777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-Enhance value and recognition to mentorship (incentive, protected time, promotion)</w:t>
            </w:r>
          </w:p>
          <w:p w14:paraId="064E5977" w14:textId="77777777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-Expanded internally funded opportunities for physician-scientist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72A9" w14:textId="4CB0E4D0" w:rsidR="007938C9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-Creat</w:t>
            </w:r>
            <w:r w:rsidR="00D4215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coverage structure to protect time for research for physician-scientist residents</w:t>
            </w:r>
          </w:p>
          <w:p w14:paraId="06CAEA13" w14:textId="6DA4BADF" w:rsidR="00AE3578" w:rsidRPr="00653E65" w:rsidRDefault="00AE3578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D4215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Implement f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lexible support programs such as Research Assistant, daycare, and other flexible support tailored to individual trainee needs</w:t>
            </w:r>
          </w:p>
        </w:tc>
      </w:tr>
      <w:tr w:rsidR="00FE61A2" w:rsidRPr="008A7A50" w14:paraId="7F3C7771" w14:textId="77777777" w:rsidTr="00FE61A2">
        <w:trPr>
          <w:trHeight w:val="1187"/>
          <w:jc w:val="center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2E0C379C" w14:textId="77777777" w:rsidR="00543E33" w:rsidRDefault="00543E33" w:rsidP="00793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0A5D33B1" w14:textId="77777777" w:rsidR="00543E33" w:rsidRDefault="00543E33" w:rsidP="00793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4A3B7DE3" w14:textId="77777777" w:rsidR="00543E33" w:rsidRDefault="00543E33" w:rsidP="00793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66B83104" w14:textId="77777777" w:rsidR="00543E33" w:rsidRDefault="00543E33" w:rsidP="00793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21ACD9D7" w14:textId="77777777" w:rsidR="00543E33" w:rsidRDefault="00543E33" w:rsidP="00793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1C02261E" w14:textId="77777777" w:rsidR="00543E33" w:rsidRDefault="00543E33" w:rsidP="00793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6F61080E" w14:textId="77777777" w:rsidR="00543E33" w:rsidRDefault="00543E33" w:rsidP="00793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3B95034D" w14:textId="77777777" w:rsidR="00543E33" w:rsidRDefault="00543E33" w:rsidP="00793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  <w:p w14:paraId="178D0A8D" w14:textId="787F02A2" w:rsidR="007938C9" w:rsidRDefault="007938C9" w:rsidP="00793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Symbolic/Cultural</w:t>
            </w:r>
          </w:p>
          <w:p w14:paraId="0F2B2CA9" w14:textId="77777777" w:rsidR="004F6008" w:rsidRPr="00CC302B" w:rsidRDefault="004F6008" w:rsidP="00CC302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AC2457C" w14:textId="77777777" w:rsidR="004F6008" w:rsidRPr="00CC302B" w:rsidRDefault="004F6008" w:rsidP="00CC302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8AF2CED" w14:textId="77777777" w:rsidR="004F6008" w:rsidRPr="00CC302B" w:rsidRDefault="004F6008" w:rsidP="00CC302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F462403" w14:textId="77777777" w:rsidR="004F6008" w:rsidRPr="00CC302B" w:rsidRDefault="004F6008" w:rsidP="00CC302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9191179" w14:textId="77777777" w:rsidR="004F6008" w:rsidRPr="00CC302B" w:rsidRDefault="004F6008" w:rsidP="00CC302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2436A42" w14:textId="77777777" w:rsidR="004F6008" w:rsidRPr="00CC302B" w:rsidRDefault="004F6008" w:rsidP="00CC302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34A30E" w14:textId="77777777" w:rsidR="004F6008" w:rsidRPr="00CC302B" w:rsidRDefault="004F6008" w:rsidP="00CC302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73880F2" w14:textId="3F502F55" w:rsidR="004F6008" w:rsidRPr="00CC302B" w:rsidRDefault="004F6008" w:rsidP="00CC302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A997" w14:textId="77777777" w:rsidR="007938C9" w:rsidRPr="00653E65" w:rsidRDefault="007938C9" w:rsidP="00793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9F1F26E" w14:textId="77777777" w:rsidR="007938C9" w:rsidRPr="00653E65" w:rsidRDefault="007938C9" w:rsidP="00FE6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Barriers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0CEEC3" w14:textId="63A1FBCA" w:rsidR="004F6008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-Lack of Reputation/New program, </w:t>
            </w:r>
          </w:p>
          <w:p w14:paraId="71EE2100" w14:textId="5F006694" w:rsidR="007938C9" w:rsidRPr="00653E65" w:rsidRDefault="004F6008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-Lack of defined </w:t>
            </w:r>
            <w:r w:rsidR="007938C9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expectation of trainees during </w:t>
            </w:r>
            <w:r w:rsidR="008B4241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recruitment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D4215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“successful completion of physician-scientist training</w:t>
            </w:r>
            <w:r w:rsidR="00521C4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”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EAAF81" w14:textId="77777777" w:rsidR="00AE3578" w:rsidRDefault="007938C9" w:rsidP="007228F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4F60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Silo effect: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Lack of sense of belonging to broader</w:t>
            </w:r>
            <w:r w:rsidR="00690F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physician/scientist community</w:t>
            </w:r>
            <w:r w:rsidR="00690F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within the  same institution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  </w:t>
            </w:r>
          </w:p>
          <w:p w14:paraId="31E24487" w14:textId="405BB1F8" w:rsidR="00690FE0" w:rsidRDefault="00AE3578" w:rsidP="007228F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-Implicit bias that unequally values different individuals/approaches in science</w:t>
            </w:r>
            <w:r w:rsidR="007938C9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                                </w:t>
            </w:r>
          </w:p>
          <w:p w14:paraId="5775024C" w14:textId="2B42B668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E5FCD8" w14:textId="1E395630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-Absence of supportive institutional culture to value the contribution of dual physician-scientist </w:t>
            </w:r>
            <w:r w:rsidR="00690FE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mentors</w:t>
            </w:r>
          </w:p>
          <w:p w14:paraId="062E1E7E" w14:textId="77777777" w:rsidR="007938C9" w:rsidRDefault="007938C9" w:rsidP="007228F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-Attrition of existing physician-scientists due to funding struggles</w:t>
            </w:r>
          </w:p>
          <w:p w14:paraId="481A62E6" w14:textId="1DCF1006" w:rsidR="00EE2A0B" w:rsidRDefault="00EE2A0B" w:rsidP="007228F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- Perceived universal funding struggles  </w:t>
            </w:r>
          </w:p>
          <w:p w14:paraId="1821BF24" w14:textId="360FF71D" w:rsidR="00EE2A0B" w:rsidRPr="00653E65" w:rsidRDefault="00EE2A0B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 Lack of diverse role models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AE854B" w14:textId="18AC3A5E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EE2A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Unsettled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community/culture for physician-scientists</w:t>
            </w:r>
          </w:p>
        </w:tc>
      </w:tr>
      <w:tr w:rsidR="007938C9" w:rsidRPr="008A7A50" w14:paraId="248F792C" w14:textId="77777777" w:rsidTr="00FE61A2">
        <w:trPr>
          <w:trHeight w:val="20"/>
          <w:jc w:val="center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BF2B27" w14:textId="77777777" w:rsidR="007938C9" w:rsidRPr="00653E65" w:rsidRDefault="007938C9" w:rsidP="007938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4FCF" w14:textId="77777777" w:rsidR="007938C9" w:rsidRPr="00653E65" w:rsidRDefault="007938C9" w:rsidP="007938C9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D8D77" w14:textId="77777777" w:rsidR="007938C9" w:rsidRPr="00653E65" w:rsidRDefault="007938C9" w:rsidP="00FE6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Strategies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0332" w14:textId="395C806F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-Advertise/publicize recruitment efforts in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advance</w:t>
            </w:r>
            <w:r w:rsidR="0096551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and through various media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9264" w14:textId="77777777" w:rsidR="007938C9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-Participation in broader university communities for physician/scientist events                                                                  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-Creation of formal tracks to symbolize to house staff community unique training structure/support needed for physician-scientists</w:t>
            </w:r>
          </w:p>
          <w:p w14:paraId="56DC5D78" w14:textId="1532E667" w:rsidR="00AE3578" w:rsidRPr="00653E65" w:rsidRDefault="00AE3578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-Ongoing training of mentors and community to value diverse pediatrician-scientist workforce and approaches.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A94C" w14:textId="2D361405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-</w:t>
            </w:r>
            <w:r w:rsidR="004F60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F6008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mphasize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the value and contribution of physician-scientist</w:t>
            </w:r>
            <w:r w:rsidR="00D4215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institutionally through leadership and cultural shift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  <w:t>-</w:t>
            </w:r>
            <w:r w:rsidR="004F60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  <w:r w:rsidR="004F6008"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oster 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robust collaboration between scientist</w:t>
            </w:r>
            <w:r w:rsidR="00D4215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s, physicians,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and physician-scientist community to promote acceptance and collegiality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A73E" w14:textId="0EAAD591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-Promot</w:t>
            </w:r>
            <w:r w:rsidR="00D4215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networking social/events</w:t>
            </w:r>
          </w:p>
          <w:p w14:paraId="4545DF2C" w14:textId="4ACFD5AC" w:rsidR="007938C9" w:rsidRPr="00653E65" w:rsidRDefault="007938C9" w:rsidP="00F72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- Creat</w:t>
            </w:r>
            <w:r w:rsidR="00D4215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653E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internal pilot/bridge funding award mechanisms for MDs pursuing physician-scientist career to enhance physician-scientist community</w:t>
            </w:r>
          </w:p>
        </w:tc>
      </w:tr>
    </w:tbl>
    <w:p w14:paraId="38180B33" w14:textId="11532EA0" w:rsidR="00F71F72" w:rsidRDefault="00EA7434" w:rsidP="00F71F72">
      <w:pPr>
        <w:rPr>
          <w:rFonts w:ascii="Times New Roman" w:eastAsia="Times New Roman" w:hAnsi="Times New Roman" w:cs="Times New Roman"/>
          <w:color w:val="000000"/>
        </w:rPr>
      </w:pPr>
      <w:r w:rsidRPr="001E6753">
        <w:rPr>
          <w:rFonts w:ascii="Times New Roman" w:eastAsia="Times New Roman" w:hAnsi="Times New Roman" w:cs="Times New Roman"/>
          <w:color w:val="000000"/>
        </w:rPr>
        <w:lastRenderedPageBreak/>
        <w:t>**</w:t>
      </w:r>
      <w:r w:rsidR="00F71F72" w:rsidRPr="00EA7434">
        <w:rPr>
          <w:rFonts w:ascii="Times New Roman" w:eastAsia="Times New Roman" w:hAnsi="Times New Roman" w:cs="Times New Roman"/>
          <w:color w:val="000000"/>
        </w:rPr>
        <w:t xml:space="preserve">ABP ARP/IRP - American Board of Pediatrics Alternative Research Pathways </w:t>
      </w:r>
      <w:r w:rsidR="00F71F72" w:rsidRPr="00795FD3">
        <w:rPr>
          <w:rFonts w:ascii="Times New Roman" w:eastAsia="Times New Roman" w:hAnsi="Times New Roman" w:cs="Times New Roman"/>
          <w:color w:val="000000"/>
        </w:rPr>
        <w:t>(Includes Accelerated Research Pathway/Integrated Research Pathway/Individualized Curriculum)</w:t>
      </w:r>
    </w:p>
    <w:p w14:paraId="3F306B78" w14:textId="3922E14F" w:rsidR="00543E33" w:rsidRPr="00543E33" w:rsidRDefault="00543E33" w:rsidP="00543E33">
      <w:pPr>
        <w:rPr>
          <w:rFonts w:ascii="Times New Roman" w:hAnsi="Times New Roman" w:cs="Times New Roman"/>
        </w:rPr>
      </w:pPr>
      <w:r w:rsidRPr="00EB08E9">
        <w:rPr>
          <w:rFonts w:ascii="Times New Roman" w:hAnsi="Times New Roman" w:cs="Times New Roman"/>
        </w:rPr>
        <w:t>*FTE- full</w:t>
      </w:r>
      <w:r w:rsidRPr="00AE3578">
        <w:rPr>
          <w:rFonts w:ascii="Times New Roman" w:hAnsi="Times New Roman" w:cs="Times New Roman"/>
        </w:rPr>
        <w:t>-time employee</w:t>
      </w:r>
    </w:p>
    <w:p w14:paraId="0778335D" w14:textId="77777777" w:rsidR="00543E33" w:rsidRPr="00EB08E9" w:rsidRDefault="00543E33" w:rsidP="00543E33">
      <w:pPr>
        <w:rPr>
          <w:rFonts w:ascii="Times New Roman" w:eastAsia="Times New Roman" w:hAnsi="Times New Roman" w:cs="Times New Roman"/>
          <w:color w:val="000000"/>
        </w:rPr>
      </w:pPr>
      <w:r w:rsidRPr="001E6753">
        <w:rPr>
          <w:rFonts w:ascii="Times New Roman" w:eastAsia="Times New Roman" w:hAnsi="Times New Roman" w:cs="Times New Roman"/>
          <w:color w:val="000000"/>
          <w:vertAlign w:val="superscript"/>
        </w:rPr>
        <w:t>#</w:t>
      </w:r>
      <w:r w:rsidRPr="00CC302B">
        <w:rPr>
          <w:rFonts w:ascii="Times New Roman" w:eastAsia="Times New Roman" w:hAnsi="Times New Roman" w:cs="Times New Roman"/>
          <w:color w:val="000000"/>
        </w:rPr>
        <w:t>MSTP</w:t>
      </w:r>
      <w:r w:rsidRPr="00EB08E9">
        <w:rPr>
          <w:rFonts w:ascii="Times New Roman" w:eastAsia="Times New Roman" w:hAnsi="Times New Roman" w:cs="Times New Roman"/>
          <w:color w:val="000000"/>
        </w:rPr>
        <w:t xml:space="preserve">- Medical Scientist Training Program </w:t>
      </w:r>
    </w:p>
    <w:p w14:paraId="3ADC9B28" w14:textId="42B28DBF" w:rsidR="00EB08E9" w:rsidRDefault="00EA7434" w:rsidP="00F71F72">
      <w:pPr>
        <w:rPr>
          <w:rFonts w:ascii="Times New Roman" w:eastAsia="Times New Roman" w:hAnsi="Times New Roman" w:cs="Times New Roman"/>
          <w:color w:val="000000"/>
        </w:rPr>
      </w:pPr>
      <w:r w:rsidRPr="001E6753">
        <w:rPr>
          <w:rFonts w:ascii="Times New Roman" w:eastAsia="Times New Roman" w:hAnsi="Times New Roman" w:cs="Times New Roman"/>
          <w:color w:val="000000"/>
          <w:vertAlign w:val="superscript"/>
        </w:rPr>
        <w:t>***</w:t>
      </w:r>
      <w:r w:rsidR="00EB08E9" w:rsidRPr="00CC302B">
        <w:rPr>
          <w:rFonts w:ascii="Times New Roman" w:eastAsia="Times New Roman" w:hAnsi="Times New Roman" w:cs="Times New Roman"/>
          <w:color w:val="000000"/>
        </w:rPr>
        <w:t xml:space="preserve">PSDP </w:t>
      </w:r>
      <w:r w:rsidR="00EB08E9">
        <w:rPr>
          <w:rFonts w:ascii="Times New Roman" w:eastAsia="Times New Roman" w:hAnsi="Times New Roman" w:cs="Times New Roman"/>
          <w:color w:val="000000"/>
        </w:rPr>
        <w:t>- Pediatric-Scientist Development Program</w:t>
      </w:r>
    </w:p>
    <w:p w14:paraId="1296F21B" w14:textId="00CF5460" w:rsidR="00AE3578" w:rsidRPr="00CC302B" w:rsidRDefault="00EA7434" w:rsidP="00F71F72">
      <w:pPr>
        <w:rPr>
          <w:rFonts w:ascii="Times New Roman" w:eastAsia="Times New Roman" w:hAnsi="Times New Roman" w:cs="Times New Roman"/>
          <w:color w:val="000000"/>
        </w:rPr>
      </w:pPr>
      <w:r w:rsidRPr="001E6753">
        <w:rPr>
          <w:rFonts w:ascii="Times New Roman" w:eastAsia="Times New Roman" w:hAnsi="Times New Roman" w:cs="Times New Roman"/>
          <w:color w:val="000000"/>
          <w:vertAlign w:val="superscript"/>
        </w:rPr>
        <w:t>%</w:t>
      </w:r>
      <w:r w:rsidR="00AE3578" w:rsidRPr="00CC302B">
        <w:rPr>
          <w:rFonts w:ascii="Times New Roman" w:eastAsia="Times New Roman" w:hAnsi="Times New Roman" w:cs="Times New Roman"/>
          <w:color w:val="000000"/>
        </w:rPr>
        <w:t>PSTP</w:t>
      </w:r>
      <w:r w:rsidR="00AE3578">
        <w:rPr>
          <w:rFonts w:ascii="Times New Roman" w:eastAsia="Times New Roman" w:hAnsi="Times New Roman" w:cs="Times New Roman"/>
          <w:color w:val="000000"/>
        </w:rPr>
        <w:t>- Physician-Scientist Training Program</w:t>
      </w:r>
    </w:p>
    <w:p w14:paraId="070B7A3D" w14:textId="621CED92" w:rsidR="00EB08E9" w:rsidRPr="00EB08E9" w:rsidRDefault="00EA7434" w:rsidP="00F71F72">
      <w:pPr>
        <w:rPr>
          <w:rFonts w:ascii="Times New Roman" w:eastAsia="Times New Roman" w:hAnsi="Times New Roman" w:cs="Times New Roman"/>
          <w:color w:val="000000"/>
        </w:rPr>
      </w:pPr>
      <w:r w:rsidRPr="001E6753">
        <w:rPr>
          <w:rFonts w:ascii="Times New Roman" w:eastAsia="Times New Roman" w:hAnsi="Times New Roman" w:cs="Times New Roman"/>
          <w:color w:val="000000"/>
          <w:vertAlign w:val="superscript"/>
        </w:rPr>
        <w:t>$</w:t>
      </w:r>
      <w:r w:rsidR="00EB08E9" w:rsidRPr="00CC302B">
        <w:rPr>
          <w:rFonts w:ascii="Times New Roman" w:eastAsia="Times New Roman" w:hAnsi="Times New Roman" w:cs="Times New Roman"/>
          <w:color w:val="000000"/>
        </w:rPr>
        <w:t>R38-</w:t>
      </w:r>
      <w:r w:rsidR="00EB08E9">
        <w:rPr>
          <w:rFonts w:ascii="Times New Roman" w:eastAsia="Times New Roman" w:hAnsi="Times New Roman" w:cs="Times New Roman"/>
          <w:color w:val="000000"/>
        </w:rPr>
        <w:t xml:space="preserve"> NIH Grant- Stimulating Access to Research in Residency (StARR R38)</w:t>
      </w:r>
    </w:p>
    <w:bookmarkEnd w:id="0"/>
    <w:p w14:paraId="0D72877C" w14:textId="77777777" w:rsidR="008A7A50" w:rsidRPr="00FE61A2" w:rsidRDefault="008A7A50">
      <w:pPr>
        <w:rPr>
          <w:rFonts w:ascii="Times New Roman" w:eastAsia="Times New Roman" w:hAnsi="Times New Roman" w:cs="Times New Roman"/>
          <w:color w:val="000000"/>
        </w:rPr>
      </w:pPr>
    </w:p>
    <w:sectPr w:rsidR="008A7A50" w:rsidRPr="00FE61A2" w:rsidSect="006A0A4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838C" w14:textId="77777777" w:rsidR="006A6DAA" w:rsidRDefault="006A6DAA" w:rsidP="007C4C68">
      <w:r>
        <w:separator/>
      </w:r>
    </w:p>
  </w:endnote>
  <w:endnote w:type="continuationSeparator" w:id="0">
    <w:p w14:paraId="188DEE7E" w14:textId="77777777" w:rsidR="006A6DAA" w:rsidRDefault="006A6DAA" w:rsidP="007C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72A9" w14:textId="77777777" w:rsidR="007C4C68" w:rsidRPr="00F722E4" w:rsidRDefault="007C4C68">
    <w:pPr>
      <w:pStyle w:val="Footer"/>
      <w:rPr>
        <w:rFonts w:ascii="Times New Roman" w:hAnsi="Times New Roman" w:cs="Times New Roman"/>
        <w:sz w:val="18"/>
        <w:szCs w:val="18"/>
      </w:rPr>
    </w:pPr>
    <w:r w:rsidRPr="00F722E4">
      <w:rPr>
        <w:rFonts w:ascii="Times New Roman" w:hAnsi="Times New Roman" w:cs="Times New Roman"/>
        <w:sz w:val="18"/>
        <w:szCs w:val="18"/>
      </w:rPr>
      <w:t xml:space="preserve">Burns </w:t>
    </w:r>
    <w:r w:rsidRPr="00F722E4">
      <w:rPr>
        <w:rFonts w:ascii="Times New Roman" w:hAnsi="Times New Roman" w:cs="Times New Roman"/>
        <w:i/>
        <w:iCs/>
        <w:sz w:val="18"/>
        <w:szCs w:val="18"/>
      </w:rPr>
      <w:t>et al</w:t>
    </w:r>
    <w:r w:rsidRPr="00F722E4">
      <w:rPr>
        <w:rFonts w:ascii="Times New Roman" w:hAnsi="Times New Roman" w:cs="Times New Roman"/>
        <w:sz w:val="18"/>
        <w:szCs w:val="18"/>
      </w:rPr>
      <w:t>.</w:t>
    </w:r>
  </w:p>
  <w:p w14:paraId="4DFE4882" w14:textId="77777777" w:rsidR="007C4C68" w:rsidRPr="007C4C68" w:rsidRDefault="007C4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8960" w14:textId="77777777" w:rsidR="006A6DAA" w:rsidRDefault="006A6DAA" w:rsidP="007C4C68">
      <w:r>
        <w:separator/>
      </w:r>
    </w:p>
  </w:footnote>
  <w:footnote w:type="continuationSeparator" w:id="0">
    <w:p w14:paraId="58326DA1" w14:textId="77777777" w:rsidR="006A6DAA" w:rsidRDefault="006A6DAA" w:rsidP="007C4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26DD"/>
    <w:multiLevelType w:val="hybridMultilevel"/>
    <w:tmpl w:val="EEDA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5D5E"/>
    <w:multiLevelType w:val="hybridMultilevel"/>
    <w:tmpl w:val="B7BE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7026"/>
    <w:multiLevelType w:val="hybridMultilevel"/>
    <w:tmpl w:val="A002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50806"/>
    <w:multiLevelType w:val="hybridMultilevel"/>
    <w:tmpl w:val="EEEE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15D88"/>
    <w:multiLevelType w:val="hybridMultilevel"/>
    <w:tmpl w:val="C390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40"/>
    <w:rsid w:val="0000311A"/>
    <w:rsid w:val="0002730D"/>
    <w:rsid w:val="0003675D"/>
    <w:rsid w:val="00036B41"/>
    <w:rsid w:val="0004276E"/>
    <w:rsid w:val="00082C56"/>
    <w:rsid w:val="000930BB"/>
    <w:rsid w:val="000A2654"/>
    <w:rsid w:val="000B3DC7"/>
    <w:rsid w:val="000C545C"/>
    <w:rsid w:val="000C651C"/>
    <w:rsid w:val="000D315A"/>
    <w:rsid w:val="001531D6"/>
    <w:rsid w:val="00161272"/>
    <w:rsid w:val="00166DE3"/>
    <w:rsid w:val="00176B95"/>
    <w:rsid w:val="00180C01"/>
    <w:rsid w:val="00191855"/>
    <w:rsid w:val="001A6BBD"/>
    <w:rsid w:val="001C2335"/>
    <w:rsid w:val="00222DE1"/>
    <w:rsid w:val="00233C13"/>
    <w:rsid w:val="00236C47"/>
    <w:rsid w:val="0023712F"/>
    <w:rsid w:val="002504FE"/>
    <w:rsid w:val="00261752"/>
    <w:rsid w:val="00270174"/>
    <w:rsid w:val="002C64E0"/>
    <w:rsid w:val="002D4FCA"/>
    <w:rsid w:val="002E7FE0"/>
    <w:rsid w:val="003241F8"/>
    <w:rsid w:val="00341EA2"/>
    <w:rsid w:val="00347755"/>
    <w:rsid w:val="0035283C"/>
    <w:rsid w:val="00375F90"/>
    <w:rsid w:val="00390658"/>
    <w:rsid w:val="00390D3A"/>
    <w:rsid w:val="00397354"/>
    <w:rsid w:val="003A22FF"/>
    <w:rsid w:val="003B6C33"/>
    <w:rsid w:val="003C6DA9"/>
    <w:rsid w:val="003D4FAB"/>
    <w:rsid w:val="003F4B87"/>
    <w:rsid w:val="004131C7"/>
    <w:rsid w:val="00436A9E"/>
    <w:rsid w:val="004549FC"/>
    <w:rsid w:val="00461526"/>
    <w:rsid w:val="00461DAA"/>
    <w:rsid w:val="004827D9"/>
    <w:rsid w:val="0049132B"/>
    <w:rsid w:val="004A7287"/>
    <w:rsid w:val="004C43EF"/>
    <w:rsid w:val="004D7C94"/>
    <w:rsid w:val="004F6008"/>
    <w:rsid w:val="00517F2A"/>
    <w:rsid w:val="00521C4F"/>
    <w:rsid w:val="00543E33"/>
    <w:rsid w:val="00550853"/>
    <w:rsid w:val="0055392F"/>
    <w:rsid w:val="00554DA8"/>
    <w:rsid w:val="005A1684"/>
    <w:rsid w:val="005A172D"/>
    <w:rsid w:val="005A4A88"/>
    <w:rsid w:val="005B5DBE"/>
    <w:rsid w:val="005C0236"/>
    <w:rsid w:val="006305A0"/>
    <w:rsid w:val="00632A76"/>
    <w:rsid w:val="00653E65"/>
    <w:rsid w:val="00677115"/>
    <w:rsid w:val="00690FE0"/>
    <w:rsid w:val="006A0A48"/>
    <w:rsid w:val="006A6DAA"/>
    <w:rsid w:val="006B63E8"/>
    <w:rsid w:val="006C6A75"/>
    <w:rsid w:val="006E1C12"/>
    <w:rsid w:val="00715F92"/>
    <w:rsid w:val="007228FF"/>
    <w:rsid w:val="00745FAF"/>
    <w:rsid w:val="00757028"/>
    <w:rsid w:val="00770239"/>
    <w:rsid w:val="007938C9"/>
    <w:rsid w:val="00795FD3"/>
    <w:rsid w:val="007B0A4B"/>
    <w:rsid w:val="007C4C68"/>
    <w:rsid w:val="007D52BA"/>
    <w:rsid w:val="008509FB"/>
    <w:rsid w:val="008A2861"/>
    <w:rsid w:val="008A7A50"/>
    <w:rsid w:val="008B4241"/>
    <w:rsid w:val="008D1B51"/>
    <w:rsid w:val="008D6691"/>
    <w:rsid w:val="008E16A1"/>
    <w:rsid w:val="008E216F"/>
    <w:rsid w:val="008F0089"/>
    <w:rsid w:val="00907F74"/>
    <w:rsid w:val="00965515"/>
    <w:rsid w:val="009D0BFF"/>
    <w:rsid w:val="009F03FD"/>
    <w:rsid w:val="00A0210C"/>
    <w:rsid w:val="00A07495"/>
    <w:rsid w:val="00A43C9F"/>
    <w:rsid w:val="00A71E27"/>
    <w:rsid w:val="00A8191E"/>
    <w:rsid w:val="00AA1D9D"/>
    <w:rsid w:val="00AD0D10"/>
    <w:rsid w:val="00AE3578"/>
    <w:rsid w:val="00AF2A8C"/>
    <w:rsid w:val="00B008E5"/>
    <w:rsid w:val="00B432C6"/>
    <w:rsid w:val="00BA2ECE"/>
    <w:rsid w:val="00BB3293"/>
    <w:rsid w:val="00BE2E4A"/>
    <w:rsid w:val="00C82429"/>
    <w:rsid w:val="00CA6437"/>
    <w:rsid w:val="00CB1923"/>
    <w:rsid w:val="00CC1152"/>
    <w:rsid w:val="00CC23E8"/>
    <w:rsid w:val="00CC302B"/>
    <w:rsid w:val="00CE3BEF"/>
    <w:rsid w:val="00CE5882"/>
    <w:rsid w:val="00CE7C5F"/>
    <w:rsid w:val="00D04C8D"/>
    <w:rsid w:val="00D10457"/>
    <w:rsid w:val="00D3530C"/>
    <w:rsid w:val="00D37DB3"/>
    <w:rsid w:val="00D42158"/>
    <w:rsid w:val="00D4722F"/>
    <w:rsid w:val="00D8160D"/>
    <w:rsid w:val="00DA49E9"/>
    <w:rsid w:val="00DB11AD"/>
    <w:rsid w:val="00DE0FA5"/>
    <w:rsid w:val="00DE2844"/>
    <w:rsid w:val="00E1216A"/>
    <w:rsid w:val="00E5630B"/>
    <w:rsid w:val="00E649A4"/>
    <w:rsid w:val="00EA7434"/>
    <w:rsid w:val="00EB08E9"/>
    <w:rsid w:val="00EB4DF3"/>
    <w:rsid w:val="00EB58C0"/>
    <w:rsid w:val="00EE2A0B"/>
    <w:rsid w:val="00EE70A4"/>
    <w:rsid w:val="00EF0950"/>
    <w:rsid w:val="00EF1142"/>
    <w:rsid w:val="00F71F72"/>
    <w:rsid w:val="00F722E4"/>
    <w:rsid w:val="00F871A6"/>
    <w:rsid w:val="00F90519"/>
    <w:rsid w:val="00FB3D4A"/>
    <w:rsid w:val="00FC0040"/>
    <w:rsid w:val="00FC5F80"/>
    <w:rsid w:val="00FE052D"/>
    <w:rsid w:val="00FE61A2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8205"/>
  <w15:chartTrackingRefBased/>
  <w15:docId w15:val="{45D49165-8A6F-E949-AE4B-FB5E6C9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1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5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C68"/>
  </w:style>
  <w:style w:type="paragraph" w:styleId="Footer">
    <w:name w:val="footer"/>
    <w:basedOn w:val="Normal"/>
    <w:link w:val="FooterChar"/>
    <w:uiPriority w:val="99"/>
    <w:unhideWhenUsed/>
    <w:rsid w:val="007C4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C68"/>
  </w:style>
  <w:style w:type="character" w:styleId="CommentReference">
    <w:name w:val="annotation reference"/>
    <w:basedOn w:val="DefaultParagraphFont"/>
    <w:uiPriority w:val="99"/>
    <w:semiHidden/>
    <w:unhideWhenUsed/>
    <w:rsid w:val="008B4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2" ma:contentTypeDescription="Create a new document." ma:contentTypeScope="" ma:versionID="a608767a304a846182653fb73af3d9bf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0fb92a3801eb99a9426b153869f99fe2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6E1B3-8ED9-451B-A58F-C944F9441A8D}"/>
</file>

<file path=customXml/itemProps2.xml><?xml version="1.0" encoding="utf-8"?>
<ds:datastoreItem xmlns:ds="http://schemas.openxmlformats.org/officeDocument/2006/customXml" ds:itemID="{C91CB3CE-0B41-4FB5-B0B0-6B1CB78319F8}"/>
</file>

<file path=customXml/itemProps3.xml><?xml version="1.0" encoding="utf-8"?>
<ds:datastoreItem xmlns:ds="http://schemas.openxmlformats.org/officeDocument/2006/customXml" ds:itemID="{621FFB2D-DE8E-4EBD-AA4D-81F872C4A0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Audrea</dc:creator>
  <cp:keywords/>
  <dc:description/>
  <cp:lastModifiedBy>Debra Boyer</cp:lastModifiedBy>
  <cp:revision>2</cp:revision>
  <dcterms:created xsi:type="dcterms:W3CDTF">2020-02-11T02:40:00Z</dcterms:created>
  <dcterms:modified xsi:type="dcterms:W3CDTF">2020-02-11T02:40:00Z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